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FDBC" w14:textId="500066C6" w:rsidR="003060DF" w:rsidRPr="009F4EAA" w:rsidRDefault="003060DF" w:rsidP="003060DF">
      <w:pPr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3060DF">
        <w:rPr>
          <w:rFonts w:ascii="Times New Roman" w:hAnsi="Times New Roman" w:cs="Times New Roman"/>
          <w:b/>
          <w:sz w:val="24"/>
          <w:szCs w:val="24"/>
        </w:rPr>
        <w:t xml:space="preserve">AGREEMENT BETWEEN </w:t>
      </w:r>
      <w:r w:rsidR="00840647">
        <w:rPr>
          <w:rFonts w:ascii="Times New Roman" w:hAnsi="Times New Roman" w:cs="Times New Roman"/>
          <w:b/>
          <w:sz w:val="24"/>
          <w:szCs w:val="24"/>
        </w:rPr>
        <w:t>THE OAG AND</w:t>
      </w:r>
      <w:r w:rsidR="00FA2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EAA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AGENCY</w:t>
      </w:r>
    </w:p>
    <w:p w14:paraId="1AF8DEA7" w14:textId="4C617B70" w:rsidR="00BE34B4" w:rsidRDefault="003060DF" w:rsidP="00306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0DF">
        <w:rPr>
          <w:rFonts w:ascii="Times New Roman" w:hAnsi="Times New Roman" w:cs="Times New Roman"/>
          <w:b/>
          <w:sz w:val="24"/>
          <w:szCs w:val="24"/>
        </w:rPr>
        <w:t>ATTACHMENT A</w:t>
      </w:r>
    </w:p>
    <w:p w14:paraId="52C95E6A" w14:textId="616D7762" w:rsidR="00840647" w:rsidRPr="003060DF" w:rsidRDefault="00840647" w:rsidP="00306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</w:t>
      </w:r>
    </w:p>
    <w:p w14:paraId="58827FD6" w14:textId="77777777" w:rsidR="003060DF" w:rsidRPr="003060DF" w:rsidRDefault="003060DF" w:rsidP="00306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0DF">
        <w:rPr>
          <w:rFonts w:ascii="Times New Roman" w:hAnsi="Times New Roman" w:cs="Times New Roman"/>
          <w:b/>
          <w:sz w:val="24"/>
          <w:szCs w:val="24"/>
        </w:rPr>
        <w:t xml:space="preserve">E-DISCOVERY </w:t>
      </w:r>
      <w:r>
        <w:rPr>
          <w:rFonts w:ascii="Times New Roman" w:hAnsi="Times New Roman" w:cs="Times New Roman"/>
          <w:b/>
          <w:sz w:val="24"/>
          <w:szCs w:val="24"/>
        </w:rPr>
        <w:t xml:space="preserve">LEGAL </w:t>
      </w:r>
      <w:r w:rsidRPr="003060DF">
        <w:rPr>
          <w:rFonts w:ascii="Times New Roman" w:hAnsi="Times New Roman" w:cs="Times New Roman"/>
          <w:b/>
          <w:sz w:val="24"/>
          <w:szCs w:val="24"/>
        </w:rPr>
        <w:t>SERVICES PERFORMED BY OAG</w:t>
      </w:r>
    </w:p>
    <w:p w14:paraId="216F2669" w14:textId="77777777" w:rsidR="003060DF" w:rsidRPr="003060DF" w:rsidRDefault="003060DF" w:rsidP="003060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152AD" w14:textId="04C1C88F" w:rsidR="003060DF" w:rsidRPr="009335CF" w:rsidRDefault="003060DF" w:rsidP="00C662E5">
      <w:pPr>
        <w:numPr>
          <w:ilvl w:val="0"/>
          <w:numId w:val="3"/>
        </w:numPr>
        <w:spacing w:after="0" w:line="48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9335CF">
        <w:rPr>
          <w:rFonts w:ascii="Times New Roman" w:hAnsi="Times New Roman" w:cs="Times New Roman"/>
          <w:sz w:val="24"/>
          <w:szCs w:val="24"/>
        </w:rPr>
        <w:t xml:space="preserve">SCOPE OF E-DISCOVERY LEGAL SERVICES:  The OAG </w:t>
      </w:r>
      <w:r w:rsidR="00840647">
        <w:rPr>
          <w:rFonts w:ascii="Times New Roman" w:hAnsi="Times New Roman" w:cs="Times New Roman"/>
          <w:sz w:val="24"/>
          <w:szCs w:val="24"/>
        </w:rPr>
        <w:t>will</w:t>
      </w:r>
      <w:r w:rsidRPr="009335CF">
        <w:rPr>
          <w:rFonts w:ascii="Times New Roman" w:hAnsi="Times New Roman" w:cs="Times New Roman"/>
          <w:sz w:val="24"/>
          <w:szCs w:val="24"/>
        </w:rPr>
        <w:t xml:space="preserve">, when a particular </w:t>
      </w:r>
      <w:r w:rsidR="00330E9C">
        <w:rPr>
          <w:rFonts w:ascii="Times New Roman" w:hAnsi="Times New Roman" w:cs="Times New Roman"/>
          <w:sz w:val="24"/>
          <w:szCs w:val="24"/>
        </w:rPr>
        <w:t>matter</w:t>
      </w:r>
      <w:r w:rsidR="00330E9C" w:rsidRPr="009335CF">
        <w:rPr>
          <w:rFonts w:ascii="Times New Roman" w:hAnsi="Times New Roman" w:cs="Times New Roman"/>
          <w:sz w:val="24"/>
          <w:szCs w:val="24"/>
        </w:rPr>
        <w:t xml:space="preserve"> </w:t>
      </w:r>
      <w:r w:rsidRPr="009335CF">
        <w:rPr>
          <w:rFonts w:ascii="Times New Roman" w:hAnsi="Times New Roman" w:cs="Times New Roman"/>
          <w:sz w:val="24"/>
          <w:szCs w:val="24"/>
        </w:rPr>
        <w:t xml:space="preserve">requires it, provide the following E-Discovery Legal Services to the AGENCY as part of the OAG’s provision of legal services under the </w:t>
      </w:r>
      <w:r w:rsidR="00840647">
        <w:rPr>
          <w:rFonts w:ascii="Times New Roman" w:hAnsi="Times New Roman" w:cs="Times New Roman"/>
          <w:sz w:val="24"/>
          <w:szCs w:val="24"/>
        </w:rPr>
        <w:t xml:space="preserve">RETAINER </w:t>
      </w:r>
      <w:r w:rsidRPr="009335CF">
        <w:rPr>
          <w:rFonts w:ascii="Times New Roman" w:hAnsi="Times New Roman" w:cs="Times New Roman"/>
          <w:sz w:val="24"/>
          <w:szCs w:val="24"/>
        </w:rPr>
        <w:t>AGREEMENT</w:t>
      </w:r>
      <w:r w:rsidR="00840647">
        <w:rPr>
          <w:rFonts w:ascii="Times New Roman" w:hAnsi="Times New Roman" w:cs="Times New Roman"/>
          <w:sz w:val="24"/>
          <w:szCs w:val="24"/>
        </w:rPr>
        <w:t xml:space="preserve"> executed between the OAG and the AGENCY</w:t>
      </w:r>
      <w:r w:rsidR="00DB1FB7" w:rsidRPr="009335CF">
        <w:rPr>
          <w:rFonts w:ascii="Times New Roman" w:hAnsi="Times New Roman" w:cs="Times New Roman"/>
          <w:sz w:val="24"/>
          <w:szCs w:val="24"/>
        </w:rPr>
        <w:t xml:space="preserve">, hereby amending </w:t>
      </w:r>
      <w:r w:rsidR="005443B1">
        <w:rPr>
          <w:rFonts w:ascii="Times New Roman" w:hAnsi="Times New Roman" w:cs="Times New Roman"/>
          <w:sz w:val="24"/>
          <w:szCs w:val="24"/>
        </w:rPr>
        <w:t xml:space="preserve">and adding the following to </w:t>
      </w:r>
      <w:r w:rsidR="00840647">
        <w:rPr>
          <w:rFonts w:ascii="Times New Roman" w:hAnsi="Times New Roman" w:cs="Times New Roman"/>
          <w:sz w:val="24"/>
          <w:szCs w:val="24"/>
        </w:rPr>
        <w:t xml:space="preserve">paragraph 2, </w:t>
      </w:r>
      <w:r w:rsidRPr="009335CF">
        <w:rPr>
          <w:rFonts w:ascii="Times New Roman" w:hAnsi="Times New Roman" w:cs="Times New Roman"/>
          <w:sz w:val="24"/>
          <w:szCs w:val="24"/>
        </w:rPr>
        <w:t>SCOPE OF SERVICES</w:t>
      </w:r>
      <w:r w:rsidR="00DB1FB7" w:rsidRPr="009335CF">
        <w:rPr>
          <w:rFonts w:ascii="Times New Roman" w:hAnsi="Times New Roman" w:cs="Times New Roman"/>
          <w:sz w:val="24"/>
          <w:szCs w:val="24"/>
        </w:rPr>
        <w:t>,</w:t>
      </w:r>
      <w:r w:rsidRPr="009335CF">
        <w:rPr>
          <w:rFonts w:ascii="Times New Roman" w:hAnsi="Times New Roman" w:cs="Times New Roman"/>
          <w:sz w:val="24"/>
          <w:szCs w:val="24"/>
        </w:rPr>
        <w:t xml:space="preserve"> of the AGREEMENT:</w:t>
      </w:r>
    </w:p>
    <w:p w14:paraId="596D8A17" w14:textId="77777777" w:rsidR="003060DF" w:rsidRPr="003060DF" w:rsidRDefault="003060DF" w:rsidP="003060DF">
      <w:pPr>
        <w:pStyle w:val="ListParagraph"/>
        <w:numPr>
          <w:ilvl w:val="0"/>
          <w:numId w:val="1"/>
        </w:numPr>
        <w:spacing w:after="0" w:line="480" w:lineRule="auto"/>
        <w:ind w:left="1440" w:firstLine="0"/>
      </w:pPr>
      <w:r w:rsidRPr="003060DF">
        <w:t xml:space="preserve">E-Discovery </w:t>
      </w:r>
      <w:r>
        <w:t>C</w:t>
      </w:r>
      <w:r w:rsidRPr="003060DF">
        <w:t>onsulting;</w:t>
      </w:r>
    </w:p>
    <w:p w14:paraId="5A578CFD" w14:textId="77777777" w:rsidR="003060DF" w:rsidRPr="003060DF" w:rsidRDefault="003060DF" w:rsidP="003060DF">
      <w:pPr>
        <w:pStyle w:val="ListParagraph"/>
        <w:numPr>
          <w:ilvl w:val="0"/>
          <w:numId w:val="1"/>
        </w:numPr>
        <w:spacing w:after="0" w:line="480" w:lineRule="auto"/>
        <w:ind w:left="1440" w:firstLine="0"/>
      </w:pPr>
      <w:r w:rsidRPr="003060DF">
        <w:t>Early Case Assessment;</w:t>
      </w:r>
    </w:p>
    <w:p w14:paraId="6BC8B0AE" w14:textId="1937D99D" w:rsidR="003060DF" w:rsidRPr="003060DF" w:rsidRDefault="003060DF" w:rsidP="003060DF">
      <w:pPr>
        <w:pStyle w:val="ListParagraph"/>
        <w:numPr>
          <w:ilvl w:val="0"/>
          <w:numId w:val="1"/>
        </w:numPr>
        <w:spacing w:after="0" w:line="480" w:lineRule="auto"/>
        <w:ind w:left="1440" w:firstLine="0"/>
      </w:pPr>
      <w:r w:rsidRPr="003060DF">
        <w:t>Process</w:t>
      </w:r>
      <w:r w:rsidR="00840647">
        <w:t xml:space="preserve"> </w:t>
      </w:r>
      <w:r w:rsidRPr="003060DF">
        <w:t>and/or convert</w:t>
      </w:r>
      <w:r w:rsidR="00840647">
        <w:t xml:space="preserve"> </w:t>
      </w:r>
      <w:r w:rsidRPr="003060DF">
        <w:t xml:space="preserve">electronically stored information (ESI) to a format compatible with the E-Discovery analysis software selected </w:t>
      </w:r>
      <w:r>
        <w:t xml:space="preserve">by the OAG </w:t>
      </w:r>
      <w:r w:rsidRPr="003060DF">
        <w:t xml:space="preserve">for use in </w:t>
      </w:r>
      <w:r>
        <w:t>the</w:t>
      </w:r>
      <w:r w:rsidRPr="003060DF">
        <w:t xml:space="preserve"> particular </w:t>
      </w:r>
      <w:r w:rsidR="00330E9C">
        <w:t>matter</w:t>
      </w:r>
      <w:r w:rsidRPr="003060DF">
        <w:t>;</w:t>
      </w:r>
    </w:p>
    <w:p w14:paraId="0D2EFD33" w14:textId="0EA41057" w:rsidR="003060DF" w:rsidRPr="003060DF" w:rsidRDefault="003060DF" w:rsidP="003060DF">
      <w:pPr>
        <w:pStyle w:val="ListParagraph"/>
        <w:numPr>
          <w:ilvl w:val="0"/>
          <w:numId w:val="1"/>
        </w:numPr>
        <w:spacing w:after="0" w:line="480" w:lineRule="auto"/>
        <w:ind w:left="1440" w:firstLine="0"/>
      </w:pPr>
      <w:r w:rsidRPr="003060DF">
        <w:t xml:space="preserve">Project </w:t>
      </w:r>
      <w:r>
        <w:t>M</w:t>
      </w:r>
      <w:r w:rsidRPr="003060DF">
        <w:t>anagement to ensure that the E-Discovery production is completed in a timely fashion consistent with the overall case discovery plan</w:t>
      </w:r>
      <w:r>
        <w:t xml:space="preserve"> in the </w:t>
      </w:r>
      <w:r w:rsidR="005B335D">
        <w:t>matter</w:t>
      </w:r>
      <w:r w:rsidRPr="003060DF">
        <w:t>;</w:t>
      </w:r>
    </w:p>
    <w:p w14:paraId="5EB435EA" w14:textId="5A11FB1B" w:rsidR="003060DF" w:rsidRPr="003060DF" w:rsidRDefault="003060DF" w:rsidP="003060DF">
      <w:pPr>
        <w:pStyle w:val="ListParagraph"/>
        <w:numPr>
          <w:ilvl w:val="0"/>
          <w:numId w:val="1"/>
        </w:numPr>
        <w:spacing w:after="0" w:line="480" w:lineRule="auto"/>
        <w:ind w:left="1440" w:firstLine="0"/>
      </w:pPr>
      <w:r w:rsidRPr="003060DF">
        <w:t>Provide technical assistance with case loading, deduplication, tagging, privilege review, de</w:t>
      </w:r>
      <w:r w:rsidR="00840647">
        <w:t>-N</w:t>
      </w:r>
      <w:r w:rsidR="0025447E">
        <w:t>ISTing</w:t>
      </w:r>
      <w:r w:rsidRPr="003060DF">
        <w:t>, email threading, near duplication analysis, concept searching, and other advanced analytics (</w:t>
      </w:r>
      <w:r>
        <w:t xml:space="preserve">i.e., </w:t>
      </w:r>
      <w:r w:rsidRPr="003060DF">
        <w:t xml:space="preserve">predictive coding and other relationship analyses), </w:t>
      </w:r>
      <w:r>
        <w:t>including</w:t>
      </w:r>
      <w:r w:rsidRPr="003060DF">
        <w:t xml:space="preserve"> processing </w:t>
      </w:r>
      <w:r>
        <w:t xml:space="preserve">data </w:t>
      </w:r>
      <w:r w:rsidRPr="003060DF">
        <w:t>for production;</w:t>
      </w:r>
    </w:p>
    <w:p w14:paraId="4285282D" w14:textId="44904F91" w:rsidR="003060DF" w:rsidRPr="003060DF" w:rsidRDefault="003060DF" w:rsidP="003060DF">
      <w:pPr>
        <w:pStyle w:val="ListParagraph"/>
        <w:numPr>
          <w:ilvl w:val="0"/>
          <w:numId w:val="1"/>
        </w:numPr>
        <w:spacing w:after="0" w:line="480" w:lineRule="auto"/>
        <w:ind w:left="1440" w:firstLine="0"/>
      </w:pPr>
      <w:r w:rsidRPr="003060DF">
        <w:t>Conduc</w:t>
      </w:r>
      <w:r w:rsidR="00840647">
        <w:t>t</w:t>
      </w:r>
      <w:r w:rsidRPr="003060DF">
        <w:t xml:space="preserve"> pre-review analysis to cull data and provide reporting regarding the ESI to be reviewed;</w:t>
      </w:r>
    </w:p>
    <w:p w14:paraId="09631BD8" w14:textId="12653D9C" w:rsidR="003060DF" w:rsidRPr="003060DF" w:rsidRDefault="003060DF" w:rsidP="003060DF">
      <w:pPr>
        <w:pStyle w:val="ListParagraph"/>
        <w:numPr>
          <w:ilvl w:val="0"/>
          <w:numId w:val="1"/>
        </w:numPr>
        <w:spacing w:after="0" w:line="480" w:lineRule="auto"/>
        <w:ind w:left="1440" w:firstLine="0"/>
      </w:pPr>
      <w:r w:rsidRPr="003060DF">
        <w:lastRenderedPageBreak/>
        <w:t xml:space="preserve">Facilitate forensic data </w:t>
      </w:r>
      <w:r w:rsidR="00445FC5" w:rsidRPr="003060DF">
        <w:t>c</w:t>
      </w:r>
      <w:r w:rsidR="00445FC5">
        <w:t>opies</w:t>
      </w:r>
      <w:r w:rsidR="00445FC5" w:rsidRPr="003060DF">
        <w:t xml:space="preserve"> </w:t>
      </w:r>
      <w:r w:rsidRPr="003060DF">
        <w:t>when needed</w:t>
      </w:r>
      <w:r w:rsidR="00B13D7E">
        <w:t xml:space="preserve"> in the </w:t>
      </w:r>
      <w:r w:rsidR="00330E9C">
        <w:t>matter</w:t>
      </w:r>
      <w:r w:rsidRPr="003060DF">
        <w:t>;</w:t>
      </w:r>
      <w:r w:rsidR="00026C43" w:rsidDel="00026C43">
        <w:rPr>
          <w:rStyle w:val="FootnoteReference"/>
        </w:rPr>
        <w:t xml:space="preserve"> </w:t>
      </w:r>
      <w:r w:rsidR="00026C43">
        <w:t>The OAG does not provide forensic data collection services but may provide forensic copies.</w:t>
      </w:r>
    </w:p>
    <w:p w14:paraId="3A2FEA9C" w14:textId="480D286F" w:rsidR="003060DF" w:rsidRPr="003060DF" w:rsidRDefault="003060DF" w:rsidP="003060DF">
      <w:pPr>
        <w:pStyle w:val="ListParagraph"/>
        <w:numPr>
          <w:ilvl w:val="0"/>
          <w:numId w:val="1"/>
        </w:numPr>
        <w:spacing w:after="0" w:line="480" w:lineRule="auto"/>
        <w:ind w:left="1440" w:firstLine="0"/>
      </w:pPr>
      <w:r w:rsidRPr="003060DF">
        <w:t xml:space="preserve">Work with </w:t>
      </w:r>
      <w:r w:rsidR="00B13D7E">
        <w:t>the AGENCY employees</w:t>
      </w:r>
      <w:r w:rsidRPr="003060DF">
        <w:t xml:space="preserve"> to determine where data resides, the search capability of the </w:t>
      </w:r>
      <w:r w:rsidR="00B13D7E">
        <w:t>AGENCY</w:t>
      </w:r>
      <w:r w:rsidRPr="003060DF">
        <w:t>, consult</w:t>
      </w:r>
      <w:r w:rsidR="00840647">
        <w:t xml:space="preserve"> </w:t>
      </w:r>
      <w:r w:rsidRPr="003060DF">
        <w:t>on search terms, and provid</w:t>
      </w:r>
      <w:r w:rsidR="00840647">
        <w:t xml:space="preserve">e </w:t>
      </w:r>
      <w:r w:rsidRPr="003060DF">
        <w:t xml:space="preserve">information about how data should be exported by the </w:t>
      </w:r>
      <w:r w:rsidR="00B13D7E">
        <w:t>AGENCY</w:t>
      </w:r>
      <w:r w:rsidR="00840647">
        <w:t xml:space="preserve"> </w:t>
      </w:r>
      <w:r w:rsidR="00B13D7E">
        <w:t>to the OAG</w:t>
      </w:r>
      <w:r w:rsidRPr="003060DF">
        <w:t xml:space="preserve"> in order to facilitate review and analysis; </w:t>
      </w:r>
    </w:p>
    <w:p w14:paraId="5B4844E7" w14:textId="50F9508E" w:rsidR="003060DF" w:rsidRPr="003060DF" w:rsidRDefault="005B335D" w:rsidP="003060DF">
      <w:pPr>
        <w:pStyle w:val="ListParagraph"/>
        <w:numPr>
          <w:ilvl w:val="0"/>
          <w:numId w:val="1"/>
        </w:numPr>
        <w:spacing w:after="0" w:line="480" w:lineRule="auto"/>
        <w:ind w:left="1440" w:firstLine="0"/>
      </w:pPr>
      <w:r>
        <w:t>Temporary d</w:t>
      </w:r>
      <w:r w:rsidR="003060DF" w:rsidRPr="003060DF">
        <w:t xml:space="preserve">ata storage, including cold storage, as agreed to by the OAG and the </w:t>
      </w:r>
      <w:r w:rsidR="00B13D7E">
        <w:t>AGENCY</w:t>
      </w:r>
      <w:r w:rsidR="003060DF" w:rsidRPr="003060DF">
        <w:t>;</w:t>
      </w:r>
    </w:p>
    <w:p w14:paraId="7E8830C6" w14:textId="77777777" w:rsidR="003060DF" w:rsidRPr="003060DF" w:rsidRDefault="003060DF" w:rsidP="003060DF">
      <w:pPr>
        <w:pStyle w:val="ListParagraph"/>
        <w:numPr>
          <w:ilvl w:val="0"/>
          <w:numId w:val="1"/>
        </w:numPr>
        <w:spacing w:after="0" w:line="480" w:lineRule="auto"/>
        <w:ind w:left="1440" w:firstLine="0"/>
      </w:pPr>
      <w:r w:rsidRPr="003060DF">
        <w:t xml:space="preserve">Data shipping or file transfer protocol services; </w:t>
      </w:r>
    </w:p>
    <w:p w14:paraId="26CE6C00" w14:textId="275841DC" w:rsidR="00504806" w:rsidRDefault="003060DF" w:rsidP="003060DF">
      <w:pPr>
        <w:pStyle w:val="ListParagraph"/>
        <w:numPr>
          <w:ilvl w:val="0"/>
          <w:numId w:val="1"/>
        </w:numPr>
        <w:spacing w:after="0" w:line="480" w:lineRule="auto"/>
        <w:ind w:left="1440" w:firstLine="0"/>
      </w:pPr>
      <w:r w:rsidRPr="003060DF">
        <w:t>Export</w:t>
      </w:r>
      <w:r w:rsidR="00840647">
        <w:t xml:space="preserve"> </w:t>
      </w:r>
      <w:r w:rsidR="00B13D7E">
        <w:t xml:space="preserve">and </w:t>
      </w:r>
      <w:r w:rsidRPr="003060DF">
        <w:t xml:space="preserve">return data to the </w:t>
      </w:r>
      <w:r w:rsidR="00B13D7E">
        <w:t>AGENCY</w:t>
      </w:r>
      <w:r w:rsidR="00292133">
        <w:t>.</w:t>
      </w:r>
      <w:r w:rsidR="00026C43">
        <w:t xml:space="preserve"> Any data received by the OAG, not transmitted via internet, will be returned to the AGENCY within 30 days from when it is processed and verified</w:t>
      </w:r>
      <w:r w:rsidR="00292133">
        <w:t>;</w:t>
      </w:r>
    </w:p>
    <w:p w14:paraId="49C41A7C" w14:textId="16DB30DB" w:rsidR="003060DF" w:rsidRPr="003060DF" w:rsidRDefault="00504806" w:rsidP="003060DF">
      <w:pPr>
        <w:pStyle w:val="ListParagraph"/>
        <w:numPr>
          <w:ilvl w:val="0"/>
          <w:numId w:val="1"/>
        </w:numPr>
        <w:spacing w:after="0" w:line="480" w:lineRule="auto"/>
        <w:ind w:left="1440" w:firstLine="0"/>
      </w:pPr>
      <w:r>
        <w:t>Process</w:t>
      </w:r>
      <w:r w:rsidR="00840647">
        <w:t xml:space="preserve"> </w:t>
      </w:r>
      <w:r>
        <w:t xml:space="preserve">the data (the original data and a load file, containing all tagging done on the data) for return </w:t>
      </w:r>
      <w:r w:rsidR="0077184A">
        <w:t xml:space="preserve">90 </w:t>
      </w:r>
      <w:r>
        <w:t xml:space="preserve">days after the end of the </w:t>
      </w:r>
      <w:r w:rsidR="00330E9C">
        <w:t>matter</w:t>
      </w:r>
      <w:r w:rsidR="00026C43">
        <w:t>. The return of the data in a load file may increase the size of the data and will not include duplicates or NIST files;</w:t>
      </w:r>
      <w:r>
        <w:t xml:space="preserve"> </w:t>
      </w:r>
      <w:r w:rsidR="00B13D7E">
        <w:t>and</w:t>
      </w:r>
    </w:p>
    <w:p w14:paraId="0338D8F3" w14:textId="77777777" w:rsidR="003060DF" w:rsidRPr="003060DF" w:rsidRDefault="003060DF" w:rsidP="003060DF">
      <w:pPr>
        <w:pStyle w:val="ListParagraph"/>
        <w:numPr>
          <w:ilvl w:val="0"/>
          <w:numId w:val="1"/>
        </w:numPr>
        <w:spacing w:after="0" w:line="480" w:lineRule="auto"/>
        <w:ind w:left="1440" w:firstLine="0"/>
      </w:pPr>
      <w:r w:rsidRPr="003060DF">
        <w:t xml:space="preserve">Expert witness </w:t>
      </w:r>
      <w:r w:rsidR="00B13D7E">
        <w:t xml:space="preserve">activities, including </w:t>
      </w:r>
      <w:r w:rsidRPr="003060DF">
        <w:t>testimony</w:t>
      </w:r>
      <w:r w:rsidR="00B13D7E">
        <w:t>, but</w:t>
      </w:r>
      <w:r w:rsidRPr="003060DF">
        <w:t xml:space="preserve"> excluding forensics.</w:t>
      </w:r>
    </w:p>
    <w:p w14:paraId="44FB6C6E" w14:textId="07A6DC39" w:rsidR="005B335D" w:rsidRDefault="00504806" w:rsidP="00C662E5">
      <w:pPr>
        <w:numPr>
          <w:ilvl w:val="0"/>
          <w:numId w:val="3"/>
        </w:numPr>
        <w:spacing w:after="0" w:line="48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840647">
        <w:rPr>
          <w:rFonts w:ascii="Times New Roman" w:hAnsi="Times New Roman" w:cs="Times New Roman"/>
          <w:sz w:val="24"/>
          <w:szCs w:val="24"/>
        </w:rPr>
        <w:t xml:space="preserve">AGREEMENT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478A7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not include forensic services.  The OAG does not provide forensic services.</w:t>
      </w:r>
    </w:p>
    <w:p w14:paraId="6FFA9BE2" w14:textId="2BA28FBF" w:rsidR="00504806" w:rsidRPr="00242193" w:rsidRDefault="00504806" w:rsidP="00880C10">
      <w:pPr>
        <w:numPr>
          <w:ilvl w:val="0"/>
          <w:numId w:val="3"/>
        </w:numPr>
        <w:spacing w:after="0" w:line="48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5B335D">
        <w:rPr>
          <w:rFonts w:ascii="Times New Roman" w:hAnsi="Times New Roman" w:cs="Times New Roman"/>
          <w:sz w:val="24"/>
          <w:szCs w:val="24"/>
        </w:rPr>
        <w:t>The data provided by th</w:t>
      </w:r>
      <w:r w:rsidR="00840647" w:rsidRPr="005B335D">
        <w:rPr>
          <w:rFonts w:ascii="Times New Roman" w:hAnsi="Times New Roman" w:cs="Times New Roman"/>
          <w:sz w:val="24"/>
          <w:szCs w:val="24"/>
        </w:rPr>
        <w:t>e AGENCY under this ATTACHMENT and the AGREEMENT</w:t>
      </w:r>
      <w:r w:rsidRPr="005B335D">
        <w:rPr>
          <w:rFonts w:ascii="Times New Roman" w:hAnsi="Times New Roman" w:cs="Times New Roman"/>
          <w:sz w:val="24"/>
          <w:szCs w:val="24"/>
        </w:rPr>
        <w:t>, including any E-</w:t>
      </w:r>
      <w:r w:rsidR="00044846" w:rsidRPr="005B335D">
        <w:rPr>
          <w:rFonts w:ascii="Times New Roman" w:hAnsi="Times New Roman" w:cs="Times New Roman"/>
          <w:sz w:val="24"/>
          <w:szCs w:val="24"/>
        </w:rPr>
        <w:t>D</w:t>
      </w:r>
      <w:r w:rsidRPr="005B335D">
        <w:rPr>
          <w:rFonts w:ascii="Times New Roman" w:hAnsi="Times New Roman" w:cs="Times New Roman"/>
          <w:sz w:val="24"/>
          <w:szCs w:val="24"/>
        </w:rPr>
        <w:t>iscovery analysis, is owned by the AGENCY</w:t>
      </w:r>
      <w:r w:rsidR="0088086D" w:rsidRPr="005B335D">
        <w:rPr>
          <w:rFonts w:ascii="Times New Roman" w:hAnsi="Times New Roman" w:cs="Times New Roman"/>
          <w:sz w:val="24"/>
          <w:szCs w:val="24"/>
        </w:rPr>
        <w:t xml:space="preserve">.  The AGENCY has the exclusive </w:t>
      </w:r>
      <w:r w:rsidR="009B6558" w:rsidRPr="005B335D">
        <w:rPr>
          <w:rFonts w:ascii="Times New Roman" w:hAnsi="Times New Roman" w:cs="Times New Roman"/>
          <w:sz w:val="24"/>
          <w:szCs w:val="24"/>
        </w:rPr>
        <w:t xml:space="preserve">duty to safeguard </w:t>
      </w:r>
      <w:r w:rsidR="005B335D">
        <w:rPr>
          <w:rFonts w:ascii="Times New Roman" w:hAnsi="Times New Roman" w:cs="Times New Roman"/>
          <w:sz w:val="24"/>
          <w:szCs w:val="24"/>
        </w:rPr>
        <w:t xml:space="preserve">any </w:t>
      </w:r>
      <w:r w:rsidR="009B6558" w:rsidRPr="005B335D">
        <w:rPr>
          <w:rFonts w:ascii="Times New Roman" w:hAnsi="Times New Roman" w:cs="Times New Roman"/>
          <w:sz w:val="24"/>
          <w:szCs w:val="24"/>
        </w:rPr>
        <w:t>confidential and exempt information and assert any privileges</w:t>
      </w:r>
      <w:r w:rsidR="005B335D">
        <w:rPr>
          <w:rFonts w:ascii="Times New Roman" w:hAnsi="Times New Roman" w:cs="Times New Roman"/>
          <w:sz w:val="24"/>
          <w:szCs w:val="24"/>
        </w:rPr>
        <w:t xml:space="preserve"> or protections</w:t>
      </w:r>
      <w:r w:rsidR="009B6558" w:rsidRPr="005B335D">
        <w:rPr>
          <w:rFonts w:ascii="Times New Roman" w:hAnsi="Times New Roman" w:cs="Times New Roman"/>
          <w:sz w:val="24"/>
          <w:szCs w:val="24"/>
        </w:rPr>
        <w:t xml:space="preserve">, and has the exclusive </w:t>
      </w:r>
      <w:r w:rsidR="0088086D" w:rsidRPr="005B335D">
        <w:rPr>
          <w:rFonts w:ascii="Times New Roman" w:hAnsi="Times New Roman" w:cs="Times New Roman"/>
          <w:sz w:val="24"/>
          <w:szCs w:val="24"/>
        </w:rPr>
        <w:t xml:space="preserve">authority to release the data </w:t>
      </w:r>
      <w:r w:rsidR="0088086D" w:rsidRPr="005B335D">
        <w:rPr>
          <w:rFonts w:ascii="Times New Roman" w:hAnsi="Times New Roman" w:cs="Times New Roman"/>
          <w:sz w:val="24"/>
          <w:szCs w:val="24"/>
        </w:rPr>
        <w:lastRenderedPageBreak/>
        <w:t>provided to the OAG under this A</w:t>
      </w:r>
      <w:r w:rsidR="008478A7">
        <w:rPr>
          <w:rFonts w:ascii="Times New Roman" w:hAnsi="Times New Roman" w:cs="Times New Roman"/>
          <w:sz w:val="24"/>
          <w:szCs w:val="24"/>
        </w:rPr>
        <w:t>GREEMENT</w:t>
      </w:r>
      <w:r w:rsidR="0088086D" w:rsidRPr="005B335D">
        <w:rPr>
          <w:rFonts w:ascii="Times New Roman" w:hAnsi="Times New Roman" w:cs="Times New Roman"/>
          <w:sz w:val="24"/>
          <w:szCs w:val="24"/>
        </w:rPr>
        <w:t xml:space="preserve">.  </w:t>
      </w:r>
      <w:r w:rsidR="00880C10">
        <w:rPr>
          <w:rFonts w:ascii="Times New Roman" w:hAnsi="Times New Roman" w:cs="Times New Roman"/>
          <w:sz w:val="24"/>
          <w:szCs w:val="24"/>
        </w:rPr>
        <w:t>All</w:t>
      </w:r>
      <w:r w:rsidRPr="005B335D">
        <w:rPr>
          <w:rFonts w:ascii="Times New Roman" w:hAnsi="Times New Roman" w:cs="Times New Roman"/>
          <w:sz w:val="24"/>
          <w:szCs w:val="24"/>
        </w:rPr>
        <w:t xml:space="preserve"> data</w:t>
      </w:r>
      <w:r w:rsidR="00880C10">
        <w:rPr>
          <w:rFonts w:ascii="Times New Roman" w:hAnsi="Times New Roman" w:cs="Times New Roman"/>
          <w:sz w:val="24"/>
          <w:szCs w:val="24"/>
        </w:rPr>
        <w:t>, including cold storage,</w:t>
      </w:r>
      <w:r w:rsidRPr="005B335D">
        <w:rPr>
          <w:rFonts w:ascii="Times New Roman" w:hAnsi="Times New Roman" w:cs="Times New Roman"/>
          <w:sz w:val="24"/>
          <w:szCs w:val="24"/>
        </w:rPr>
        <w:t xml:space="preserve"> will be returned to the AGENCY </w:t>
      </w:r>
      <w:r w:rsidR="009148DA" w:rsidRPr="005B335D">
        <w:rPr>
          <w:rFonts w:ascii="Times New Roman" w:hAnsi="Times New Roman" w:cs="Times New Roman"/>
          <w:sz w:val="24"/>
          <w:szCs w:val="24"/>
        </w:rPr>
        <w:t xml:space="preserve">within </w:t>
      </w:r>
      <w:r w:rsidR="0077184A">
        <w:rPr>
          <w:rFonts w:ascii="Times New Roman" w:hAnsi="Times New Roman" w:cs="Times New Roman"/>
          <w:sz w:val="24"/>
          <w:szCs w:val="24"/>
        </w:rPr>
        <w:t>90</w:t>
      </w:r>
      <w:r w:rsidR="00C7089E" w:rsidRPr="005B335D">
        <w:rPr>
          <w:rFonts w:ascii="Times New Roman" w:hAnsi="Times New Roman" w:cs="Times New Roman"/>
          <w:sz w:val="24"/>
          <w:szCs w:val="24"/>
        </w:rPr>
        <w:t xml:space="preserve"> </w:t>
      </w:r>
      <w:r w:rsidR="009148DA" w:rsidRPr="005B335D">
        <w:rPr>
          <w:rFonts w:ascii="Times New Roman" w:hAnsi="Times New Roman" w:cs="Times New Roman"/>
          <w:sz w:val="24"/>
          <w:szCs w:val="24"/>
        </w:rPr>
        <w:t>days after</w:t>
      </w:r>
      <w:r w:rsidRPr="005B335D">
        <w:rPr>
          <w:rFonts w:ascii="Times New Roman" w:hAnsi="Times New Roman" w:cs="Times New Roman"/>
          <w:sz w:val="24"/>
          <w:szCs w:val="24"/>
        </w:rPr>
        <w:t xml:space="preserve"> the end of the </w:t>
      </w:r>
      <w:r w:rsidR="00330E9C" w:rsidRPr="005B335D">
        <w:rPr>
          <w:rFonts w:ascii="Times New Roman" w:hAnsi="Times New Roman" w:cs="Times New Roman"/>
          <w:sz w:val="24"/>
          <w:szCs w:val="24"/>
        </w:rPr>
        <w:t>matter</w:t>
      </w:r>
      <w:r w:rsidRPr="005B335D">
        <w:rPr>
          <w:rFonts w:ascii="Times New Roman" w:hAnsi="Times New Roman" w:cs="Times New Roman"/>
          <w:sz w:val="24"/>
          <w:szCs w:val="24"/>
        </w:rPr>
        <w:t xml:space="preserve">, along with a load file </w:t>
      </w:r>
      <w:r w:rsidR="00242193" w:rsidRPr="005B335D">
        <w:rPr>
          <w:rFonts w:ascii="Times New Roman" w:hAnsi="Times New Roman" w:cs="Times New Roman"/>
          <w:sz w:val="24"/>
          <w:szCs w:val="24"/>
        </w:rPr>
        <w:t xml:space="preserve">that </w:t>
      </w:r>
      <w:r w:rsidRPr="005B335D">
        <w:rPr>
          <w:rFonts w:ascii="Times New Roman" w:hAnsi="Times New Roman" w:cs="Times New Roman"/>
          <w:sz w:val="24"/>
          <w:szCs w:val="24"/>
        </w:rPr>
        <w:t xml:space="preserve">includes all tagging </w:t>
      </w:r>
      <w:r w:rsidR="00243CD2" w:rsidRPr="005B335D">
        <w:rPr>
          <w:rFonts w:ascii="Times New Roman" w:hAnsi="Times New Roman" w:cs="Times New Roman"/>
          <w:sz w:val="24"/>
          <w:szCs w:val="24"/>
        </w:rPr>
        <w:t>and comments pertaining to the electronic data furnished by the AGENCY</w:t>
      </w:r>
      <w:r w:rsidRPr="005B335D">
        <w:rPr>
          <w:rFonts w:ascii="Times New Roman" w:hAnsi="Times New Roman" w:cs="Times New Roman"/>
          <w:sz w:val="24"/>
          <w:szCs w:val="24"/>
        </w:rPr>
        <w:t>.</w:t>
      </w:r>
      <w:r w:rsidR="00301E22" w:rsidRPr="005B335D">
        <w:rPr>
          <w:rFonts w:ascii="Times New Roman" w:hAnsi="Times New Roman" w:cs="Times New Roman"/>
          <w:sz w:val="24"/>
          <w:szCs w:val="24"/>
        </w:rPr>
        <w:t xml:space="preserve">  </w:t>
      </w:r>
      <w:r w:rsidR="008478A7">
        <w:rPr>
          <w:rFonts w:ascii="Times New Roman" w:hAnsi="Times New Roman" w:cs="Times New Roman"/>
          <w:sz w:val="24"/>
          <w:szCs w:val="24"/>
        </w:rPr>
        <w:t>At no time during the AGREEMENT will the</w:t>
      </w:r>
      <w:r w:rsidR="009B6558" w:rsidRPr="005B335D">
        <w:rPr>
          <w:rFonts w:ascii="Times New Roman" w:hAnsi="Times New Roman" w:cs="Times New Roman"/>
          <w:sz w:val="24"/>
          <w:szCs w:val="24"/>
        </w:rPr>
        <w:t xml:space="preserve"> OAG </w:t>
      </w:r>
      <w:r w:rsidR="0077184A">
        <w:rPr>
          <w:rFonts w:ascii="Times New Roman" w:hAnsi="Times New Roman" w:cs="Times New Roman"/>
          <w:sz w:val="24"/>
          <w:szCs w:val="24"/>
        </w:rPr>
        <w:t xml:space="preserve">be deemed to </w:t>
      </w:r>
      <w:r w:rsidR="009B6558" w:rsidRPr="005B335D">
        <w:rPr>
          <w:rFonts w:ascii="Times New Roman" w:hAnsi="Times New Roman" w:cs="Times New Roman"/>
          <w:sz w:val="24"/>
          <w:szCs w:val="24"/>
        </w:rPr>
        <w:t xml:space="preserve">maintain a </w:t>
      </w:r>
      <w:r w:rsidR="0077184A">
        <w:rPr>
          <w:rFonts w:ascii="Times New Roman" w:hAnsi="Times New Roman" w:cs="Times New Roman"/>
          <w:sz w:val="24"/>
          <w:szCs w:val="24"/>
        </w:rPr>
        <w:t>“</w:t>
      </w:r>
      <w:r w:rsidR="005B335D" w:rsidRPr="005B335D">
        <w:rPr>
          <w:rFonts w:ascii="Times New Roman" w:hAnsi="Times New Roman" w:cs="Times New Roman"/>
          <w:sz w:val="24"/>
          <w:szCs w:val="24"/>
        </w:rPr>
        <w:t>record copy</w:t>
      </w:r>
      <w:r w:rsidR="0077184A">
        <w:rPr>
          <w:rFonts w:ascii="Times New Roman" w:hAnsi="Times New Roman" w:cs="Times New Roman"/>
          <w:sz w:val="24"/>
          <w:szCs w:val="24"/>
        </w:rPr>
        <w:t xml:space="preserve">” </w:t>
      </w:r>
      <w:r w:rsidR="00BA49AE">
        <w:rPr>
          <w:rFonts w:ascii="Times New Roman" w:hAnsi="Times New Roman" w:cs="Times New Roman"/>
          <w:sz w:val="24"/>
          <w:szCs w:val="24"/>
        </w:rPr>
        <w:t>as defined in</w:t>
      </w:r>
      <w:r w:rsidR="0077184A">
        <w:rPr>
          <w:rFonts w:ascii="Times New Roman" w:hAnsi="Times New Roman" w:cs="Times New Roman"/>
          <w:sz w:val="24"/>
          <w:szCs w:val="24"/>
        </w:rPr>
        <w:t xml:space="preserve"> </w:t>
      </w:r>
      <w:r w:rsidR="00C62728">
        <w:rPr>
          <w:rFonts w:ascii="Times New Roman" w:hAnsi="Times New Roman" w:cs="Times New Roman"/>
          <w:sz w:val="24"/>
          <w:szCs w:val="24"/>
        </w:rPr>
        <w:t xml:space="preserve">Florida Administrative Code Rule </w:t>
      </w:r>
      <w:r w:rsidR="0077184A">
        <w:rPr>
          <w:rFonts w:ascii="Times New Roman" w:hAnsi="Times New Roman" w:cs="Times New Roman"/>
          <w:sz w:val="24"/>
          <w:szCs w:val="24"/>
        </w:rPr>
        <w:t>1B-26.003</w:t>
      </w:r>
      <w:r w:rsidR="00C62728">
        <w:rPr>
          <w:rFonts w:ascii="Times New Roman" w:hAnsi="Times New Roman" w:cs="Times New Roman"/>
          <w:sz w:val="24"/>
          <w:szCs w:val="24"/>
        </w:rPr>
        <w:t xml:space="preserve">, </w:t>
      </w:r>
      <w:r w:rsidR="0077184A">
        <w:rPr>
          <w:rFonts w:ascii="Times New Roman" w:hAnsi="Times New Roman" w:cs="Times New Roman"/>
          <w:sz w:val="24"/>
          <w:szCs w:val="24"/>
        </w:rPr>
        <w:t>Electronic Recordkeeping</w:t>
      </w:r>
      <w:r w:rsidR="005B335D" w:rsidRPr="005B335D">
        <w:rPr>
          <w:rFonts w:ascii="Times New Roman" w:hAnsi="Times New Roman" w:cs="Times New Roman"/>
          <w:sz w:val="24"/>
          <w:szCs w:val="24"/>
        </w:rPr>
        <w:t>.</w:t>
      </w:r>
    </w:p>
    <w:p w14:paraId="36E783D9" w14:textId="0567DC45" w:rsidR="00B13D7E" w:rsidRDefault="00B13D7E" w:rsidP="00C662E5">
      <w:pPr>
        <w:numPr>
          <w:ilvl w:val="0"/>
          <w:numId w:val="3"/>
        </w:numPr>
        <w:spacing w:after="0" w:line="48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AGENCY </w:t>
      </w:r>
      <w:r w:rsidR="0084064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pay the OAG for legal fees billed in providing E-Discovery Legal Services to the AGENCY according to the following schedule, for those</w:t>
      </w:r>
      <w:r w:rsidR="00840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OAG employees not already</w:t>
      </w:r>
      <w:r w:rsidR="00840647">
        <w:rPr>
          <w:rFonts w:ascii="Times New Roman" w:hAnsi="Times New Roman" w:cs="Times New Roman"/>
          <w:sz w:val="24"/>
          <w:szCs w:val="24"/>
        </w:rPr>
        <w:t xml:space="preserve"> specified</w:t>
      </w:r>
      <w:r>
        <w:rPr>
          <w:rFonts w:ascii="Times New Roman" w:hAnsi="Times New Roman" w:cs="Times New Roman"/>
          <w:sz w:val="24"/>
          <w:szCs w:val="24"/>
        </w:rPr>
        <w:t xml:space="preserve"> in the schedule set forth in</w:t>
      </w:r>
      <w:r w:rsidR="00840647">
        <w:rPr>
          <w:rFonts w:ascii="Times New Roman" w:hAnsi="Times New Roman" w:cs="Times New Roman"/>
          <w:sz w:val="24"/>
          <w:szCs w:val="24"/>
        </w:rPr>
        <w:t xml:space="preserve"> paragraph</w:t>
      </w:r>
      <w:r>
        <w:rPr>
          <w:rFonts w:ascii="Times New Roman" w:hAnsi="Times New Roman" w:cs="Times New Roman"/>
          <w:sz w:val="24"/>
          <w:szCs w:val="24"/>
        </w:rPr>
        <w:t xml:space="preserve"> 4, </w:t>
      </w:r>
      <w:r w:rsidR="00763471">
        <w:rPr>
          <w:rFonts w:ascii="Times New Roman" w:hAnsi="Times New Roman" w:cs="Times New Roman"/>
          <w:sz w:val="24"/>
          <w:szCs w:val="24"/>
        </w:rPr>
        <w:t>PAYMENT</w:t>
      </w:r>
      <w:r>
        <w:rPr>
          <w:rFonts w:ascii="Times New Roman" w:hAnsi="Times New Roman" w:cs="Times New Roman"/>
          <w:sz w:val="24"/>
          <w:szCs w:val="24"/>
        </w:rPr>
        <w:t>, of the AGREEMENT:</w:t>
      </w:r>
    </w:p>
    <w:p w14:paraId="777AD98A" w14:textId="77777777" w:rsidR="00DB1FB7" w:rsidRPr="003060DF" w:rsidRDefault="00DB1FB7" w:rsidP="00DB1FB7">
      <w:pPr>
        <w:pStyle w:val="ListParagraph"/>
        <w:ind w:left="1080"/>
      </w:pPr>
    </w:p>
    <w:tbl>
      <w:tblPr>
        <w:tblW w:w="0" w:type="auto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3"/>
        <w:gridCol w:w="3420"/>
      </w:tblGrid>
      <w:tr w:rsidR="00DB1FB7" w:rsidRPr="003060DF" w14:paraId="6AF50C4A" w14:textId="77777777" w:rsidTr="008B1E7E">
        <w:trPr>
          <w:trHeight w:val="890"/>
        </w:trPr>
        <w:tc>
          <w:tcPr>
            <w:tcW w:w="3983" w:type="dxa"/>
            <w:shd w:val="clear" w:color="auto" w:fill="auto"/>
          </w:tcPr>
          <w:p w14:paraId="3EF88835" w14:textId="796FDBEC" w:rsidR="00DB1FB7" w:rsidRPr="003060DF" w:rsidRDefault="00243CD2" w:rsidP="004B6BC1">
            <w:pPr>
              <w:pStyle w:val="ListParagraph"/>
              <w:ind w:left="0"/>
            </w:pPr>
            <w:r>
              <w:t>Positions</w:t>
            </w:r>
          </w:p>
        </w:tc>
        <w:tc>
          <w:tcPr>
            <w:tcW w:w="3420" w:type="dxa"/>
            <w:shd w:val="clear" w:color="auto" w:fill="auto"/>
          </w:tcPr>
          <w:p w14:paraId="5F8E2382" w14:textId="77777777" w:rsidR="00DB1FB7" w:rsidRPr="003060DF" w:rsidRDefault="00FC586E" w:rsidP="004B6BC1">
            <w:pPr>
              <w:pStyle w:val="ListParagraph"/>
              <w:ind w:left="0"/>
            </w:pPr>
            <w:r>
              <w:t>Rate</w:t>
            </w:r>
            <w:r w:rsidR="00DB1FB7" w:rsidRPr="003060DF">
              <w:t xml:space="preserve"> per hour</w:t>
            </w:r>
          </w:p>
        </w:tc>
      </w:tr>
      <w:tr w:rsidR="00DB1FB7" w:rsidRPr="003060DF" w14:paraId="264E906A" w14:textId="77777777" w:rsidTr="008B1E7E">
        <w:tc>
          <w:tcPr>
            <w:tcW w:w="3983" w:type="dxa"/>
            <w:shd w:val="clear" w:color="auto" w:fill="auto"/>
          </w:tcPr>
          <w:p w14:paraId="55E55975" w14:textId="35107FB8" w:rsidR="00DB1FB7" w:rsidRPr="00243CD2" w:rsidRDefault="00243CD2" w:rsidP="004B6BC1">
            <w:pPr>
              <w:pStyle w:val="ListParagraph"/>
              <w:ind w:left="0"/>
              <w:rPr>
                <w:b/>
              </w:rPr>
            </w:pPr>
            <w:r w:rsidRPr="00243CD2">
              <w:rPr>
                <w:b/>
              </w:rPr>
              <w:t>Administrators in E-Discovery &amp;</w:t>
            </w:r>
            <w:r w:rsidR="00044846">
              <w:rPr>
                <w:b/>
              </w:rPr>
              <w:t xml:space="preserve"> </w:t>
            </w:r>
            <w:r w:rsidRPr="00243CD2">
              <w:rPr>
                <w:b/>
              </w:rPr>
              <w:t>Litigation Support, &amp; E-Discovery Operations Manager</w:t>
            </w:r>
          </w:p>
        </w:tc>
        <w:tc>
          <w:tcPr>
            <w:tcW w:w="3420" w:type="dxa"/>
            <w:shd w:val="clear" w:color="auto" w:fill="auto"/>
          </w:tcPr>
          <w:p w14:paraId="5AA5D0F8" w14:textId="7C7A01C7" w:rsidR="00DB1FB7" w:rsidRPr="003060DF" w:rsidRDefault="00FC586E" w:rsidP="004B6BC1">
            <w:pPr>
              <w:pStyle w:val="ListParagraph"/>
              <w:ind w:left="0"/>
            </w:pPr>
            <w:r>
              <w:t>$</w:t>
            </w:r>
            <w:r w:rsidR="004C5B63">
              <w:t>90</w:t>
            </w:r>
            <w:r>
              <w:t>/hr.</w:t>
            </w:r>
          </w:p>
        </w:tc>
      </w:tr>
      <w:tr w:rsidR="00DB1FB7" w:rsidRPr="003060DF" w14:paraId="00431DBE" w14:textId="77777777" w:rsidTr="008B1E7E">
        <w:tc>
          <w:tcPr>
            <w:tcW w:w="3983" w:type="dxa"/>
            <w:shd w:val="clear" w:color="auto" w:fill="auto"/>
          </w:tcPr>
          <w:p w14:paraId="2F06EF93" w14:textId="6DBAC307" w:rsidR="00DB1FB7" w:rsidRPr="003060DF" w:rsidRDefault="00243CD2" w:rsidP="004B6BC1">
            <w:pPr>
              <w:pStyle w:val="ListParagraph"/>
              <w:ind w:left="0"/>
            </w:pPr>
            <w:r w:rsidRPr="00FC586E">
              <w:rPr>
                <w:b/>
              </w:rPr>
              <w:t>E-Discovery Operation Production Lead</w:t>
            </w:r>
            <w:r w:rsidRPr="003060DF">
              <w:t xml:space="preserve">, </w:t>
            </w:r>
            <w:r w:rsidRPr="00FC586E">
              <w:rPr>
                <w:b/>
              </w:rPr>
              <w:t>E-Discovery Operations Technician</w:t>
            </w:r>
            <w:r w:rsidRPr="003060DF">
              <w:t xml:space="preserve">, </w:t>
            </w:r>
            <w:r w:rsidRPr="00FC586E">
              <w:rPr>
                <w:b/>
              </w:rPr>
              <w:t>E-Discovery and Litigation Support Consultant</w:t>
            </w:r>
          </w:p>
        </w:tc>
        <w:tc>
          <w:tcPr>
            <w:tcW w:w="3420" w:type="dxa"/>
            <w:shd w:val="clear" w:color="auto" w:fill="auto"/>
          </w:tcPr>
          <w:p w14:paraId="3821B5AA" w14:textId="6FA330C4" w:rsidR="00DB1FB7" w:rsidRPr="003060DF" w:rsidRDefault="00FC586E" w:rsidP="004B6BC1">
            <w:pPr>
              <w:pStyle w:val="ListParagraph"/>
              <w:ind w:left="0"/>
            </w:pPr>
            <w:r>
              <w:t>$</w:t>
            </w:r>
            <w:r w:rsidR="004C5B63">
              <w:t>65</w:t>
            </w:r>
            <w:r>
              <w:t>/hr.</w:t>
            </w:r>
          </w:p>
        </w:tc>
      </w:tr>
      <w:tr w:rsidR="00840647" w:rsidRPr="003060DF" w14:paraId="65058AFA" w14:textId="77777777" w:rsidTr="008B1E7E">
        <w:trPr>
          <w:trHeight w:val="953"/>
        </w:trPr>
        <w:tc>
          <w:tcPr>
            <w:tcW w:w="3983" w:type="dxa"/>
            <w:shd w:val="clear" w:color="auto" w:fill="auto"/>
          </w:tcPr>
          <w:p w14:paraId="255139A8" w14:textId="26904B3F" w:rsidR="00840647" w:rsidRPr="00FC586E" w:rsidRDefault="00840647" w:rsidP="004B6BC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Operations Specialist</w:t>
            </w:r>
          </w:p>
        </w:tc>
        <w:tc>
          <w:tcPr>
            <w:tcW w:w="3420" w:type="dxa"/>
            <w:shd w:val="clear" w:color="auto" w:fill="auto"/>
          </w:tcPr>
          <w:p w14:paraId="381DA9BD" w14:textId="6292CA9C" w:rsidR="00840647" w:rsidRDefault="00840647" w:rsidP="004B6BC1">
            <w:pPr>
              <w:pStyle w:val="ListParagraph"/>
              <w:ind w:left="0"/>
            </w:pPr>
            <w:r>
              <w:t>$</w:t>
            </w:r>
            <w:r w:rsidR="004C5B63">
              <w:t>45</w:t>
            </w:r>
            <w:r>
              <w:t>/hr.</w:t>
            </w:r>
          </w:p>
        </w:tc>
      </w:tr>
    </w:tbl>
    <w:p w14:paraId="56C705E2" w14:textId="514A9A7C" w:rsidR="00243CD2" w:rsidRDefault="00243CD2" w:rsidP="00832983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6157904" w14:textId="77777777" w:rsidR="00F95893" w:rsidRDefault="00F95893" w:rsidP="00832983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1285939" w14:textId="77777777" w:rsidR="009148DA" w:rsidRDefault="00503CA1" w:rsidP="00C662E5">
      <w:pPr>
        <w:numPr>
          <w:ilvl w:val="0"/>
          <w:numId w:val="3"/>
        </w:numPr>
        <w:spacing w:after="0" w:line="48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832983">
        <w:rPr>
          <w:rFonts w:ascii="Times New Roman" w:hAnsi="Times New Roman" w:cs="Times New Roman"/>
          <w:b/>
          <w:sz w:val="24"/>
          <w:szCs w:val="24"/>
        </w:rPr>
        <w:t xml:space="preserve">AGENCY </w:t>
      </w:r>
      <w:r w:rsidRPr="009148DA">
        <w:rPr>
          <w:rFonts w:ascii="Times New Roman" w:hAnsi="Times New Roman" w:cs="Times New Roman"/>
          <w:sz w:val="24"/>
          <w:szCs w:val="24"/>
        </w:rPr>
        <w:t>data storage per Subparagraph 1.i. above</w:t>
      </w:r>
      <w:r w:rsidR="003060DF" w:rsidRPr="003060DF">
        <w:rPr>
          <w:rFonts w:ascii="Times New Roman" w:hAnsi="Times New Roman" w:cs="Times New Roman"/>
          <w:sz w:val="24"/>
          <w:szCs w:val="24"/>
        </w:rPr>
        <w:t>:</w:t>
      </w:r>
    </w:p>
    <w:p w14:paraId="5048C89D" w14:textId="325D2EB2" w:rsidR="00F95893" w:rsidRDefault="003060DF" w:rsidP="009148DA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48DA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503CA1" w:rsidRPr="009148DA">
        <w:rPr>
          <w:rFonts w:ascii="Times New Roman" w:hAnsi="Times New Roman" w:cs="Times New Roman"/>
          <w:sz w:val="24"/>
          <w:szCs w:val="24"/>
        </w:rPr>
        <w:t>rates</w:t>
      </w:r>
      <w:r w:rsidRPr="009148DA">
        <w:rPr>
          <w:rFonts w:ascii="Times New Roman" w:hAnsi="Times New Roman" w:cs="Times New Roman"/>
          <w:sz w:val="24"/>
          <w:szCs w:val="24"/>
        </w:rPr>
        <w:t xml:space="preserve"> will apply when it is necessary for the OAG to store </w:t>
      </w:r>
      <w:r w:rsidR="00503CA1" w:rsidRPr="009148DA">
        <w:rPr>
          <w:rFonts w:ascii="Times New Roman" w:hAnsi="Times New Roman" w:cs="Times New Roman"/>
          <w:sz w:val="24"/>
          <w:szCs w:val="24"/>
        </w:rPr>
        <w:t xml:space="preserve">AGENCY </w:t>
      </w:r>
      <w:r w:rsidR="003C4607">
        <w:rPr>
          <w:rFonts w:ascii="Times New Roman" w:hAnsi="Times New Roman" w:cs="Times New Roman"/>
          <w:sz w:val="24"/>
          <w:szCs w:val="24"/>
        </w:rPr>
        <w:t xml:space="preserve">data itself, for </w:t>
      </w:r>
      <w:r w:rsidR="00832983" w:rsidRPr="009148DA">
        <w:rPr>
          <w:rFonts w:ascii="Times New Roman" w:hAnsi="Times New Roman" w:cs="Times New Roman"/>
          <w:sz w:val="24"/>
          <w:szCs w:val="24"/>
        </w:rPr>
        <w:t>active storage</w:t>
      </w:r>
      <w:r w:rsidRPr="009148DA">
        <w:rPr>
          <w:rFonts w:ascii="Times New Roman" w:hAnsi="Times New Roman" w:cs="Times New Roman"/>
          <w:sz w:val="24"/>
          <w:szCs w:val="24"/>
        </w:rPr>
        <w:t xml:space="preserve"> or cold storage:</w:t>
      </w:r>
    </w:p>
    <w:p w14:paraId="13450EDF" w14:textId="02419794" w:rsidR="003060DF" w:rsidRPr="00F95893" w:rsidRDefault="00F95893" w:rsidP="00F95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1752"/>
      </w:tblGrid>
      <w:tr w:rsidR="003060DF" w:rsidRPr="003060DF" w14:paraId="7DEE7831" w14:textId="77777777" w:rsidTr="00F95893">
        <w:tc>
          <w:tcPr>
            <w:tcW w:w="5500" w:type="dxa"/>
          </w:tcPr>
          <w:p w14:paraId="5B5840B3" w14:textId="77777777" w:rsidR="003060DF" w:rsidRPr="003060DF" w:rsidRDefault="003060DF" w:rsidP="004B6BC1">
            <w:pPr>
              <w:pStyle w:val="ListParagraph"/>
              <w:ind w:left="0"/>
            </w:pPr>
            <w:r w:rsidRPr="003060DF">
              <w:lastRenderedPageBreak/>
              <w:t xml:space="preserve">Type of </w:t>
            </w:r>
            <w:r w:rsidR="00C81041">
              <w:t xml:space="preserve">Data </w:t>
            </w:r>
            <w:r w:rsidRPr="003060DF">
              <w:t>Storage</w:t>
            </w:r>
          </w:p>
        </w:tc>
        <w:tc>
          <w:tcPr>
            <w:tcW w:w="1752" w:type="dxa"/>
          </w:tcPr>
          <w:p w14:paraId="63B6FC00" w14:textId="0D400A16" w:rsidR="003060DF" w:rsidRPr="003060DF" w:rsidRDefault="00BA49AE" w:rsidP="004B6BC1">
            <w:pPr>
              <w:pStyle w:val="ListParagraph"/>
              <w:ind w:left="0"/>
            </w:pPr>
            <w:r>
              <w:t>R</w:t>
            </w:r>
            <w:r w:rsidR="003060DF" w:rsidRPr="003060DF">
              <w:t>ate</w:t>
            </w:r>
            <w:r>
              <w:t>s</w:t>
            </w:r>
          </w:p>
        </w:tc>
      </w:tr>
      <w:tr w:rsidR="003060DF" w:rsidRPr="003060DF" w14:paraId="37A5D259" w14:textId="77777777" w:rsidTr="00F95893">
        <w:tc>
          <w:tcPr>
            <w:tcW w:w="5500" w:type="dxa"/>
          </w:tcPr>
          <w:p w14:paraId="4085FB18" w14:textId="437398AA" w:rsidR="003060DF" w:rsidRPr="003060DF" w:rsidRDefault="00C108C8" w:rsidP="004B6BC1">
            <w:pPr>
              <w:pStyle w:val="ListParagraph"/>
              <w:ind w:left="0"/>
            </w:pPr>
            <w:r>
              <w:t>A</w:t>
            </w:r>
            <w:r w:rsidR="003060DF" w:rsidRPr="003060DF">
              <w:t>ctive storage (this is storage on an OAG server with the ability to immediately access the data)</w:t>
            </w:r>
          </w:p>
        </w:tc>
        <w:tc>
          <w:tcPr>
            <w:tcW w:w="1752" w:type="dxa"/>
          </w:tcPr>
          <w:p w14:paraId="6EFE94F8" w14:textId="799FCD08" w:rsidR="003060DF" w:rsidRPr="003060DF" w:rsidRDefault="00832983" w:rsidP="004B6BC1">
            <w:pPr>
              <w:pStyle w:val="ListParagraph"/>
              <w:ind w:left="0"/>
            </w:pPr>
            <w:r>
              <w:t>$</w:t>
            </w:r>
            <w:r w:rsidR="00E87EBE">
              <w:t>2</w:t>
            </w:r>
            <w:r w:rsidR="00C81041">
              <w:t>/</w:t>
            </w:r>
            <w:r w:rsidR="00930F4C">
              <w:t>Per Gigabyte</w:t>
            </w:r>
          </w:p>
        </w:tc>
      </w:tr>
      <w:tr w:rsidR="003060DF" w:rsidRPr="003060DF" w14:paraId="0C4A3A47" w14:textId="77777777" w:rsidTr="00F95893">
        <w:tc>
          <w:tcPr>
            <w:tcW w:w="5500" w:type="dxa"/>
          </w:tcPr>
          <w:p w14:paraId="3F710242" w14:textId="0289B1F6" w:rsidR="003060DF" w:rsidRPr="003060DF" w:rsidRDefault="00C81041" w:rsidP="004B6BC1">
            <w:pPr>
              <w:pStyle w:val="ListParagraph"/>
              <w:ind w:left="0"/>
            </w:pPr>
            <w:r>
              <w:t>Cold s</w:t>
            </w:r>
            <w:r w:rsidR="003060DF" w:rsidRPr="003060DF">
              <w:t>torage (Off</w:t>
            </w:r>
            <w:r w:rsidR="00FA2D7E">
              <w:t>-</w:t>
            </w:r>
            <w:r w:rsidR="003060DF" w:rsidRPr="003060DF">
              <w:t>line storage, requiring that data be fully reloade</w:t>
            </w:r>
            <w:r w:rsidR="00832983">
              <w:t>d if needed – which may take 2-4</w:t>
            </w:r>
            <w:r w:rsidR="003060DF" w:rsidRPr="003060DF">
              <w:t xml:space="preserve"> business days)</w:t>
            </w:r>
          </w:p>
        </w:tc>
        <w:tc>
          <w:tcPr>
            <w:tcW w:w="1752" w:type="dxa"/>
          </w:tcPr>
          <w:p w14:paraId="6D7067C7" w14:textId="45743AC1" w:rsidR="003060DF" w:rsidRPr="003060DF" w:rsidRDefault="00C81041" w:rsidP="004B6BC1">
            <w:pPr>
              <w:pStyle w:val="ListParagraph"/>
              <w:ind w:left="0"/>
            </w:pPr>
            <w:r>
              <w:t>$</w:t>
            </w:r>
            <w:r w:rsidR="00930F4C">
              <w:t xml:space="preserve">30 </w:t>
            </w:r>
            <w:r>
              <w:t>Mo</w:t>
            </w:r>
            <w:r w:rsidR="00FB1D1E">
              <w:t>n</w:t>
            </w:r>
            <w:r w:rsidR="00BA49AE">
              <w:t>thly,</w:t>
            </w:r>
            <w:r w:rsidR="00880C10">
              <w:t xml:space="preserve"> </w:t>
            </w:r>
            <w:r w:rsidR="00BA49AE">
              <w:t>p</w:t>
            </w:r>
            <w:r w:rsidR="00930F4C">
              <w:t>lus cost of storage media</w:t>
            </w:r>
          </w:p>
        </w:tc>
      </w:tr>
    </w:tbl>
    <w:p w14:paraId="05337340" w14:textId="77777777" w:rsidR="00F95893" w:rsidRDefault="00F95893" w:rsidP="00B0774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1B78528" w14:textId="77777777" w:rsidR="00F95893" w:rsidRDefault="00F95893" w:rsidP="00B0774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966AB91" w14:textId="77777777" w:rsidR="00F95893" w:rsidRDefault="00F95893" w:rsidP="00B0774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040AA0D" w14:textId="77777777" w:rsidR="00F95893" w:rsidRDefault="00F95893" w:rsidP="00B0774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61812BF" w14:textId="77777777" w:rsidR="00F95893" w:rsidRDefault="00F95893" w:rsidP="00B0774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CB160BA" w14:textId="77777777" w:rsidR="00F95893" w:rsidRDefault="00F95893" w:rsidP="00B0774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E4BB0C9" w14:textId="77777777" w:rsidR="00F95893" w:rsidRDefault="00F95893" w:rsidP="00B0774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2A12C7E" w14:textId="77777777" w:rsidR="00F95893" w:rsidRDefault="00F95893" w:rsidP="00B0774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F633D89" w14:textId="77777777" w:rsidR="00F95893" w:rsidRDefault="00F95893" w:rsidP="00B0774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A9AC695" w14:textId="77777777" w:rsidR="00F95893" w:rsidRDefault="00F95893" w:rsidP="00B0774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D87A47E" w14:textId="77777777" w:rsidR="00763471" w:rsidRDefault="00763471" w:rsidP="00F95893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4619F611" w14:textId="4C6CDDC2" w:rsidR="00243CD2" w:rsidRDefault="00243CD2" w:rsidP="00F95893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*Note: For data</w:t>
      </w:r>
      <w:r w:rsidRPr="003060DF">
        <w:rPr>
          <w:rFonts w:ascii="Times New Roman" w:hAnsi="Times New Roman" w:cs="Times New Roman"/>
          <w:sz w:val="24"/>
          <w:szCs w:val="24"/>
        </w:rPr>
        <w:t xml:space="preserve"> stored in active storage for any portion of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060DF">
        <w:rPr>
          <w:rFonts w:ascii="Times New Roman" w:hAnsi="Times New Roman" w:cs="Times New Roman"/>
          <w:sz w:val="24"/>
          <w:szCs w:val="24"/>
        </w:rPr>
        <w:t xml:space="preserve"> month, the </w:t>
      </w:r>
      <w:r>
        <w:rPr>
          <w:rFonts w:ascii="Times New Roman" w:hAnsi="Times New Roman" w:cs="Times New Roman"/>
          <w:sz w:val="24"/>
          <w:szCs w:val="24"/>
        </w:rPr>
        <w:t>associated</w:t>
      </w:r>
      <w:r w:rsidRPr="003060DF">
        <w:rPr>
          <w:rFonts w:ascii="Times New Roman" w:hAnsi="Times New Roman" w:cs="Times New Roman"/>
          <w:sz w:val="24"/>
          <w:szCs w:val="24"/>
        </w:rPr>
        <w:t xml:space="preserve"> rate </w:t>
      </w:r>
      <w:r w:rsidR="009148DA">
        <w:rPr>
          <w:rFonts w:ascii="Times New Roman" w:hAnsi="Times New Roman" w:cs="Times New Roman"/>
          <w:sz w:val="24"/>
          <w:szCs w:val="24"/>
        </w:rPr>
        <w:t xml:space="preserve">for </w:t>
      </w:r>
      <w:r w:rsidR="00462921">
        <w:rPr>
          <w:rFonts w:ascii="Times New Roman" w:hAnsi="Times New Roman" w:cs="Times New Roman"/>
          <w:sz w:val="24"/>
          <w:szCs w:val="24"/>
        </w:rPr>
        <w:t>active</w:t>
      </w:r>
      <w:r w:rsidR="009148DA">
        <w:rPr>
          <w:rFonts w:ascii="Times New Roman" w:hAnsi="Times New Roman" w:cs="Times New Roman"/>
          <w:sz w:val="24"/>
          <w:szCs w:val="24"/>
        </w:rPr>
        <w:t xml:space="preserve"> storage </w:t>
      </w:r>
      <w:r w:rsidRPr="003060DF">
        <w:rPr>
          <w:rFonts w:ascii="Times New Roman" w:hAnsi="Times New Roman" w:cs="Times New Roman"/>
          <w:sz w:val="24"/>
          <w:szCs w:val="24"/>
        </w:rPr>
        <w:t>will apply to the entire month.</w:t>
      </w:r>
    </w:p>
    <w:p w14:paraId="11EE88B1" w14:textId="07842CC7" w:rsidR="00DB616E" w:rsidRDefault="00DB616E" w:rsidP="00F95893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**Note: Month begins the day </w:t>
      </w:r>
      <w:r w:rsidR="003826FD">
        <w:rPr>
          <w:rFonts w:ascii="Times New Roman" w:hAnsi="Times New Roman" w:cs="Times New Roman"/>
          <w:sz w:val="24"/>
          <w:szCs w:val="24"/>
        </w:rPr>
        <w:t>the data is uploaded.</w:t>
      </w:r>
    </w:p>
    <w:p w14:paraId="52155DE1" w14:textId="77777777" w:rsidR="00F95893" w:rsidRDefault="00F95893" w:rsidP="00F95893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2458B1DF" w14:textId="77777777" w:rsidR="00243CD2" w:rsidRPr="003060DF" w:rsidRDefault="00243CD2" w:rsidP="00243CD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21B65CA" w14:textId="6BBA64A1" w:rsidR="009335CF" w:rsidRDefault="009335CF" w:rsidP="00C662E5">
      <w:pPr>
        <w:numPr>
          <w:ilvl w:val="0"/>
          <w:numId w:val="3"/>
        </w:numPr>
        <w:spacing w:after="0" w:line="48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DUTY OF AGENCY TO TIMELY PROVIDE ELECTRONIC DATA.  </w:t>
      </w:r>
      <w:r w:rsidR="00330E9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BA49AE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the AGENCY’S duty to timely provide the requested data to the OAG for provision of E-Discovery services.</w:t>
      </w:r>
    </w:p>
    <w:p w14:paraId="32102B61" w14:textId="6AA3FC35" w:rsidR="004969AC" w:rsidRDefault="00A9455C" w:rsidP="00C662E5">
      <w:pPr>
        <w:numPr>
          <w:ilvl w:val="0"/>
          <w:numId w:val="3"/>
        </w:numPr>
        <w:spacing w:after="0" w:line="48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OAG will provide n</w:t>
      </w:r>
      <w:r w:rsidR="002D0499">
        <w:rPr>
          <w:rFonts w:ascii="Times New Roman" w:hAnsi="Times New Roman" w:cs="Times New Roman"/>
          <w:sz w:val="24"/>
          <w:szCs w:val="24"/>
        </w:rPr>
        <w:t xml:space="preserve">otice of request to deactivate data not accessed by the AGENCY within 90 days </w:t>
      </w:r>
      <w:r w:rsidR="00422389">
        <w:rPr>
          <w:rFonts w:ascii="Times New Roman" w:hAnsi="Times New Roman" w:cs="Times New Roman"/>
          <w:sz w:val="24"/>
          <w:szCs w:val="24"/>
        </w:rPr>
        <w:t>to the AGENCY and</w:t>
      </w:r>
      <w:r w:rsidR="002D0499">
        <w:rPr>
          <w:rFonts w:ascii="Times New Roman" w:hAnsi="Times New Roman" w:cs="Times New Roman"/>
          <w:sz w:val="24"/>
          <w:szCs w:val="24"/>
        </w:rPr>
        <w:t xml:space="preserve"> provide the following options</w:t>
      </w:r>
      <w:r>
        <w:rPr>
          <w:rFonts w:ascii="Times New Roman" w:hAnsi="Times New Roman" w:cs="Times New Roman"/>
          <w:sz w:val="24"/>
          <w:szCs w:val="24"/>
        </w:rPr>
        <w:t xml:space="preserve"> for the data</w:t>
      </w:r>
      <w:r w:rsidR="002D0499">
        <w:rPr>
          <w:rFonts w:ascii="Times New Roman" w:hAnsi="Times New Roman" w:cs="Times New Roman"/>
          <w:sz w:val="24"/>
          <w:szCs w:val="24"/>
        </w:rPr>
        <w:t>:</w:t>
      </w:r>
    </w:p>
    <w:p w14:paraId="2D699386" w14:textId="7AC4CAE1" w:rsidR="002D0499" w:rsidRDefault="002D0499" w:rsidP="00FA60D9">
      <w:pPr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remain in active storage, continued associated rate for active storage will apply;</w:t>
      </w:r>
    </w:p>
    <w:p w14:paraId="4A313B7A" w14:textId="300F7777" w:rsidR="002D0499" w:rsidRDefault="002D0499" w:rsidP="00FA60D9">
      <w:pPr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Immediate export of the data for cold storage at a reduced monthly rate plus the cost of storage media, dependent on the </w:t>
      </w:r>
      <w:r w:rsidR="00A9455C">
        <w:rPr>
          <w:rFonts w:ascii="Times New Roman" w:hAnsi="Times New Roman" w:cs="Times New Roman"/>
          <w:sz w:val="24"/>
          <w:szCs w:val="24"/>
        </w:rPr>
        <w:t xml:space="preserve">size of the </w:t>
      </w:r>
      <w:r>
        <w:rPr>
          <w:rFonts w:ascii="Times New Roman" w:hAnsi="Times New Roman" w:cs="Times New Roman"/>
          <w:sz w:val="24"/>
          <w:szCs w:val="24"/>
        </w:rPr>
        <w:t>data;</w:t>
      </w:r>
    </w:p>
    <w:p w14:paraId="66596D6F" w14:textId="6EE7577B" w:rsidR="002D0499" w:rsidRDefault="002D0499" w:rsidP="00FA60D9">
      <w:pPr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Immediate export of the data for return to the AGENCY. Cost of media </w:t>
      </w:r>
      <w:r w:rsidR="00FA60D9">
        <w:rPr>
          <w:rFonts w:ascii="Times New Roman" w:hAnsi="Times New Roman" w:cs="Times New Roman"/>
          <w:sz w:val="24"/>
          <w:szCs w:val="24"/>
        </w:rPr>
        <w:t xml:space="preserve">and shipping </w:t>
      </w:r>
      <w:r>
        <w:rPr>
          <w:rFonts w:ascii="Times New Roman" w:hAnsi="Times New Roman" w:cs="Times New Roman"/>
          <w:sz w:val="24"/>
          <w:szCs w:val="24"/>
        </w:rPr>
        <w:t xml:space="preserve">may apply dependent on the </w:t>
      </w:r>
      <w:r w:rsidR="00A9455C">
        <w:rPr>
          <w:rFonts w:ascii="Times New Roman" w:hAnsi="Times New Roman" w:cs="Times New Roman"/>
          <w:sz w:val="24"/>
          <w:szCs w:val="24"/>
        </w:rPr>
        <w:t xml:space="preserve">size of the </w:t>
      </w:r>
      <w:r>
        <w:rPr>
          <w:rFonts w:ascii="Times New Roman" w:hAnsi="Times New Roman" w:cs="Times New Roman"/>
          <w:sz w:val="24"/>
          <w:szCs w:val="24"/>
        </w:rPr>
        <w:t>data</w:t>
      </w:r>
      <w:r w:rsidR="00422389">
        <w:rPr>
          <w:rFonts w:ascii="Times New Roman" w:hAnsi="Times New Roman" w:cs="Times New Roman"/>
          <w:sz w:val="24"/>
          <w:szCs w:val="24"/>
        </w:rPr>
        <w:t>.</w:t>
      </w:r>
    </w:p>
    <w:p w14:paraId="04E86473" w14:textId="4646D6D1" w:rsidR="005C7186" w:rsidRDefault="005C7186" w:rsidP="00880C10">
      <w:pPr>
        <w:numPr>
          <w:ilvl w:val="0"/>
          <w:numId w:val="3"/>
        </w:numPr>
        <w:spacing w:after="0"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Deactivation and reactivation of data will involve services provided by staff at both the manager and production lead </w:t>
      </w:r>
      <w:r w:rsidR="00422389">
        <w:rPr>
          <w:rFonts w:ascii="Times New Roman" w:hAnsi="Times New Roman" w:cs="Times New Roman"/>
          <w:sz w:val="24"/>
          <w:szCs w:val="24"/>
        </w:rPr>
        <w:t>positions.</w:t>
      </w:r>
    </w:p>
    <w:p w14:paraId="2B979A83" w14:textId="123284C8" w:rsidR="00C81041" w:rsidRPr="00F95893" w:rsidRDefault="00243CD2" w:rsidP="00F95893">
      <w:pPr>
        <w:numPr>
          <w:ilvl w:val="0"/>
          <w:numId w:val="3"/>
        </w:numPr>
        <w:spacing w:after="0" w:line="48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 necessary for production or for return of the data, the OAG may have to purchase portable storage devices.  The cost of the portable storage devices is compensable </w:t>
      </w:r>
      <w:r w:rsidR="00044846">
        <w:rPr>
          <w:rFonts w:ascii="Times New Roman" w:hAnsi="Times New Roman" w:cs="Times New Roman"/>
          <w:sz w:val="24"/>
          <w:szCs w:val="24"/>
        </w:rPr>
        <w:t xml:space="preserve">as a cost and expense </w:t>
      </w:r>
      <w:r>
        <w:rPr>
          <w:rFonts w:ascii="Times New Roman" w:hAnsi="Times New Roman" w:cs="Times New Roman"/>
          <w:sz w:val="24"/>
          <w:szCs w:val="24"/>
        </w:rPr>
        <w:t xml:space="preserve">under this AGREEMENT. </w:t>
      </w:r>
    </w:p>
    <w:sectPr w:rsidR="00C81041" w:rsidRPr="00F95893" w:rsidSect="004B6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B203F" w14:textId="77777777" w:rsidR="00646821" w:rsidRDefault="00646821" w:rsidP="003060DF">
      <w:pPr>
        <w:spacing w:after="0" w:line="240" w:lineRule="auto"/>
      </w:pPr>
      <w:r>
        <w:separator/>
      </w:r>
    </w:p>
  </w:endnote>
  <w:endnote w:type="continuationSeparator" w:id="0">
    <w:p w14:paraId="3D0F4339" w14:textId="77777777" w:rsidR="00646821" w:rsidRDefault="00646821" w:rsidP="0030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FF7A" w14:textId="77777777" w:rsidR="007902C4" w:rsidRDefault="00790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2647" w14:textId="3089E494" w:rsidR="004B6BC1" w:rsidRDefault="00C17E94" w:rsidP="00C17E94">
    <w:pPr>
      <w:pStyle w:val="Footer"/>
      <w:tabs>
        <w:tab w:val="clear" w:pos="9360"/>
      </w:tabs>
      <w:spacing w:after="0" w:line="240" w:lineRule="auto"/>
    </w:pPr>
    <w:r>
      <w:t>St</w:t>
    </w:r>
    <w:r w:rsidR="004B6BC1">
      <w:t>d</w:t>
    </w:r>
    <w:r>
      <w:t>.</w:t>
    </w:r>
    <w:r w:rsidR="004B6BC1">
      <w:t xml:space="preserve"> Retainer Agreement Attachment A</w:t>
    </w:r>
    <w:r w:rsidR="004B6BC1">
      <w:tab/>
      <w:t xml:space="preserve">Page </w:t>
    </w:r>
    <w:r w:rsidR="004B6BC1">
      <w:fldChar w:fldCharType="begin"/>
    </w:r>
    <w:r w:rsidR="004B6BC1">
      <w:instrText xml:space="preserve"> PAGE   \* MERGEFORMAT </w:instrText>
    </w:r>
    <w:r w:rsidR="004B6BC1">
      <w:fldChar w:fldCharType="separate"/>
    </w:r>
    <w:r w:rsidR="00B07740">
      <w:rPr>
        <w:noProof/>
      </w:rPr>
      <w:t>4</w:t>
    </w:r>
    <w:r w:rsidR="004B6BC1">
      <w:fldChar w:fldCharType="end"/>
    </w:r>
    <w:r w:rsidR="004B6BC1">
      <w:t xml:space="preserve"> of </w:t>
    </w:r>
    <w:r w:rsidR="007902C4">
      <w:t>5</w:t>
    </w:r>
    <w:r w:rsidR="004B6BC1">
      <w:tab/>
      <w:t>Office of the Attorney General</w:t>
    </w:r>
  </w:p>
  <w:p w14:paraId="260B4A70" w14:textId="6BD2FE20" w:rsidR="00C17E94" w:rsidRPr="009F4EAA" w:rsidRDefault="00C17E94" w:rsidP="00C17E94">
    <w:pPr>
      <w:pStyle w:val="Footer"/>
      <w:tabs>
        <w:tab w:val="clear" w:pos="9360"/>
      </w:tabs>
      <w:spacing w:after="0" w:line="240" w:lineRule="auto"/>
      <w:rPr>
        <w:i/>
        <w:iCs/>
        <w:color w:val="FF0000"/>
      </w:rPr>
    </w:pPr>
    <w:r w:rsidRPr="00FA2D7E">
      <w:t>Contract</w:t>
    </w:r>
    <w:r w:rsidR="00FA2D7E" w:rsidRPr="00FA2D7E">
      <w:t xml:space="preserve"> No.</w:t>
    </w:r>
    <w:r w:rsidR="009F4EAA">
      <w:rPr>
        <w:color w:val="FF0000"/>
      </w:rPr>
      <w:t xml:space="preserve"> R????</w:t>
    </w:r>
    <w:r>
      <w:tab/>
    </w:r>
    <w:r>
      <w:tab/>
    </w:r>
    <w:r>
      <w:tab/>
    </w:r>
    <w:r w:rsidR="009F4EAA">
      <w:rPr>
        <w:i/>
        <w:iCs/>
        <w:color w:val="FF0000"/>
      </w:rPr>
      <w:t>AGENCY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3260" w14:textId="77777777" w:rsidR="007902C4" w:rsidRDefault="00790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6B1C" w14:textId="77777777" w:rsidR="00646821" w:rsidRDefault="00646821" w:rsidP="003060DF">
      <w:pPr>
        <w:spacing w:after="0" w:line="240" w:lineRule="auto"/>
      </w:pPr>
      <w:r>
        <w:separator/>
      </w:r>
    </w:p>
  </w:footnote>
  <w:footnote w:type="continuationSeparator" w:id="0">
    <w:p w14:paraId="77B2F060" w14:textId="77777777" w:rsidR="00646821" w:rsidRDefault="00646821" w:rsidP="0030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1A41" w14:textId="77777777" w:rsidR="007902C4" w:rsidRDefault="00790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547E" w14:textId="77777777" w:rsidR="007902C4" w:rsidRDefault="007902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F76C" w14:textId="77777777" w:rsidR="007902C4" w:rsidRDefault="007902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BF7"/>
    <w:multiLevelType w:val="hybridMultilevel"/>
    <w:tmpl w:val="6340FF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90EB5"/>
    <w:multiLevelType w:val="hybridMultilevel"/>
    <w:tmpl w:val="31C84C9C"/>
    <w:lvl w:ilvl="0" w:tplc="B0EE1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1C3FAE"/>
    <w:multiLevelType w:val="hybridMultilevel"/>
    <w:tmpl w:val="11EE2FBE"/>
    <w:lvl w:ilvl="0" w:tplc="E182C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6242003">
    <w:abstractNumId w:val="0"/>
  </w:num>
  <w:num w:numId="2" w16cid:durableId="425422775">
    <w:abstractNumId w:val="2"/>
  </w:num>
  <w:num w:numId="3" w16cid:durableId="1372731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0DF"/>
    <w:rsid w:val="00026C43"/>
    <w:rsid w:val="00044846"/>
    <w:rsid w:val="00082016"/>
    <w:rsid w:val="000D5D37"/>
    <w:rsid w:val="00190ECA"/>
    <w:rsid w:val="00215AE2"/>
    <w:rsid w:val="00242193"/>
    <w:rsid w:val="00243CD2"/>
    <w:rsid w:val="0025447E"/>
    <w:rsid w:val="0028769A"/>
    <w:rsid w:val="00292133"/>
    <w:rsid w:val="002D0499"/>
    <w:rsid w:val="002D2D9D"/>
    <w:rsid w:val="00301E22"/>
    <w:rsid w:val="003060DF"/>
    <w:rsid w:val="00323B3F"/>
    <w:rsid w:val="00330E9C"/>
    <w:rsid w:val="003330E0"/>
    <w:rsid w:val="003826FD"/>
    <w:rsid w:val="003A4246"/>
    <w:rsid w:val="003C4607"/>
    <w:rsid w:val="00422389"/>
    <w:rsid w:val="00445FC5"/>
    <w:rsid w:val="00462921"/>
    <w:rsid w:val="004969AC"/>
    <w:rsid w:val="004B6BC1"/>
    <w:rsid w:val="004C5B63"/>
    <w:rsid w:val="004D758A"/>
    <w:rsid w:val="00502252"/>
    <w:rsid w:val="00503CA1"/>
    <w:rsid w:val="00504806"/>
    <w:rsid w:val="0054308F"/>
    <w:rsid w:val="005443B1"/>
    <w:rsid w:val="0054662F"/>
    <w:rsid w:val="00574E36"/>
    <w:rsid w:val="005B335D"/>
    <w:rsid w:val="005C7186"/>
    <w:rsid w:val="0060609F"/>
    <w:rsid w:val="00646821"/>
    <w:rsid w:val="00654467"/>
    <w:rsid w:val="00675180"/>
    <w:rsid w:val="00711823"/>
    <w:rsid w:val="00763471"/>
    <w:rsid w:val="0077184A"/>
    <w:rsid w:val="007902C4"/>
    <w:rsid w:val="008156B0"/>
    <w:rsid w:val="00832983"/>
    <w:rsid w:val="00840647"/>
    <w:rsid w:val="008478A7"/>
    <w:rsid w:val="008773D5"/>
    <w:rsid w:val="0088086D"/>
    <w:rsid w:val="00880C10"/>
    <w:rsid w:val="008B1E7E"/>
    <w:rsid w:val="009148DA"/>
    <w:rsid w:val="00930520"/>
    <w:rsid w:val="00930F4C"/>
    <w:rsid w:val="009335CF"/>
    <w:rsid w:val="009B6558"/>
    <w:rsid w:val="009F34D1"/>
    <w:rsid w:val="009F4EAA"/>
    <w:rsid w:val="00A9455C"/>
    <w:rsid w:val="00B07740"/>
    <w:rsid w:val="00B13D7E"/>
    <w:rsid w:val="00B30F79"/>
    <w:rsid w:val="00B34992"/>
    <w:rsid w:val="00B474C2"/>
    <w:rsid w:val="00B77A78"/>
    <w:rsid w:val="00BA3E40"/>
    <w:rsid w:val="00BA49AE"/>
    <w:rsid w:val="00BE34B4"/>
    <w:rsid w:val="00C108C8"/>
    <w:rsid w:val="00C170C9"/>
    <w:rsid w:val="00C17E94"/>
    <w:rsid w:val="00C62728"/>
    <w:rsid w:val="00C662E5"/>
    <w:rsid w:val="00C7089E"/>
    <w:rsid w:val="00C81041"/>
    <w:rsid w:val="00CF5253"/>
    <w:rsid w:val="00D6681C"/>
    <w:rsid w:val="00DB1FB7"/>
    <w:rsid w:val="00DB616E"/>
    <w:rsid w:val="00E2156A"/>
    <w:rsid w:val="00E87EBE"/>
    <w:rsid w:val="00EF05F7"/>
    <w:rsid w:val="00F476C4"/>
    <w:rsid w:val="00F67F50"/>
    <w:rsid w:val="00F95893"/>
    <w:rsid w:val="00FA2D7E"/>
    <w:rsid w:val="00FA60D9"/>
    <w:rsid w:val="00FB1D1E"/>
    <w:rsid w:val="00FC586E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8DE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0D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DF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060DF"/>
    <w:rPr>
      <w:rFonts w:ascii="Times New Roman" w:eastAsia="Calibri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60DF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0DF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060D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B1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F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F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F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6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BC1"/>
  </w:style>
  <w:style w:type="paragraph" w:styleId="Revision">
    <w:name w:val="Revision"/>
    <w:hidden/>
    <w:uiPriority w:val="99"/>
    <w:semiHidden/>
    <w:rsid w:val="00877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0F992-6ED7-45F9-BC5A-949D43B0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2022-05-23T14:13:00Z</dcterms:created>
  <dcterms:modified xsi:type="dcterms:W3CDTF">2022-05-23T21:32:00Z</dcterms:modified>
</cp:coreProperties>
</file>